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05" w:rsidRPr="00333805" w:rsidRDefault="00333805" w:rsidP="00333805">
      <w:pPr>
        <w:jc w:val="center"/>
        <w:rPr>
          <w:rFonts w:eastAsia="Times New Roman" w:cs="Times New Roman"/>
          <w:b/>
          <w:color w:val="000000"/>
          <w:szCs w:val="32"/>
        </w:rPr>
      </w:pPr>
      <w:r w:rsidRPr="00333805">
        <w:rPr>
          <w:rFonts w:eastAsia="Times New Roman" w:cs="Times New Roman"/>
          <w:b/>
          <w:color w:val="000000"/>
          <w:szCs w:val="32"/>
        </w:rPr>
        <w:t>Программа инспектирования производства</w:t>
      </w:r>
    </w:p>
    <w:p w:rsidR="00333805" w:rsidRPr="00333805" w:rsidRDefault="00333805" w:rsidP="00333805">
      <w:pPr>
        <w:jc w:val="center"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____________________________________ </w:t>
      </w:r>
      <w:r w:rsidRPr="00333805">
        <w:rPr>
          <w:rFonts w:eastAsia="Calibri" w:cs="Times New Roman"/>
          <w:i/>
          <w:iCs/>
          <w:color w:val="000000"/>
          <w:sz w:val="24"/>
        </w:rPr>
        <w:t>(указать наименование производителя медицинского изделия)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256"/>
        <w:gridCol w:w="2362"/>
        <w:gridCol w:w="5970"/>
      </w:tblGrid>
      <w:tr w:rsidR="00333805" w:rsidRPr="00333805" w:rsidTr="00A80502">
        <w:trPr>
          <w:trHeight w:val="1016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Адрес производственной площадки:</w:t>
            </w:r>
          </w:p>
        </w:tc>
        <w:tc>
          <w:tcPr>
            <w:tcW w:w="1118" w:type="pct"/>
            <w:shd w:val="clear" w:color="auto" w:fill="auto"/>
          </w:tcPr>
          <w:p w:rsidR="00333805" w:rsidRPr="001C4BB9" w:rsidRDefault="00333805" w:rsidP="001C4BB9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</w:tc>
        <w:tc>
          <w:tcPr>
            <w:tcW w:w="81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Место и даты проведения инспектирования</w:t>
            </w:r>
          </w:p>
        </w:tc>
        <w:tc>
          <w:tcPr>
            <w:tcW w:w="2050" w:type="pct"/>
            <w:shd w:val="clear" w:color="auto" w:fill="auto"/>
          </w:tcPr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Адрес: 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  <w:lang w:eastAsia="ru-RU"/>
              </w:rPr>
              <w:t>указать адрес производственных площадок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iCs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iCs/>
                <w:color w:val="000000"/>
                <w:sz w:val="24"/>
              </w:rPr>
              <w:t>и/или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Инспектирование производства проводится с использованием средств дистанционного взаимодействия по адресу: (указать адрес)</w:t>
            </w: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tabs>
                <w:tab w:val="left" w:pos="426"/>
              </w:tabs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 xml:space="preserve">Даты проведения: 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Форма</w:t>
            </w:r>
          </w:p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инспектирования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первичное/периодическое (плановое)/внеплановое (нужное оставить)</w:t>
            </w:r>
          </w:p>
        </w:tc>
      </w:tr>
      <w:tr w:rsidR="00333805" w:rsidRPr="00333805" w:rsidTr="00A80502"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jc w:val="left"/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 w:rsidRPr="00333805">
              <w:rPr>
                <w:rFonts w:eastAsia="Times New Roman" w:cs="Times New Roman"/>
                <w:b/>
                <w:noProof/>
                <w:color w:val="000000"/>
                <w:spacing w:val="-3"/>
                <w:sz w:val="24"/>
                <w:szCs w:val="24"/>
                <w:lang w:eastAsia="it-IT"/>
              </w:rPr>
              <w:t>Основание для проведения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Заявка</w:t>
            </w:r>
          </w:p>
          <w:p w:rsidR="00333805" w:rsidRPr="00333805" w:rsidRDefault="00333805" w:rsidP="00333805">
            <w:pPr>
              <w:rPr>
                <w:rFonts w:eastAsia="Calibri" w:cs="Times New Roman"/>
                <w:i/>
                <w:color w:val="000000"/>
                <w:sz w:val="24"/>
              </w:rPr>
            </w:pPr>
            <w:r w:rsidRPr="00333805">
              <w:rPr>
                <w:rFonts w:eastAsia="Calibri" w:cs="Times New Roman"/>
                <w:i/>
                <w:color w:val="000000"/>
                <w:sz w:val="24"/>
              </w:rPr>
              <w:t>№ ___ от ___</w:t>
            </w:r>
          </w:p>
        </w:tc>
      </w:tr>
      <w:tr w:rsidR="00333805" w:rsidRPr="00333805" w:rsidTr="00A80502">
        <w:trPr>
          <w:trHeight w:val="729"/>
        </w:trPr>
        <w:tc>
          <w:tcPr>
            <w:tcW w:w="1021" w:type="pct"/>
            <w:shd w:val="clear" w:color="auto" w:fill="auto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инспектирования:</w:t>
            </w:r>
          </w:p>
        </w:tc>
        <w:tc>
          <w:tcPr>
            <w:tcW w:w="3979" w:type="pct"/>
            <w:gridSpan w:val="3"/>
            <w:shd w:val="clear" w:color="auto" w:fill="auto"/>
          </w:tcPr>
          <w:p w:rsidR="00333805" w:rsidRDefault="00C14CF1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1</w:t>
            </w:r>
            <w:r w:rsidR="00354BA2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упра</w:t>
            </w:r>
            <w:r w:rsidR="001A6FA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вления документацией и записями</w:t>
            </w:r>
            <w:r w:rsidR="00354BA2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:</w:t>
            </w:r>
          </w:p>
          <w:p w:rsidR="00354BA2" w:rsidRDefault="00CE0153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E0153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процедуры идентификации, хранения и удаления (уничтожения) документов и записей (включая управление изменениями) были разработаны;</w:t>
            </w:r>
          </w:p>
          <w:p w:rsidR="00354BA2" w:rsidRDefault="00861D0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861D0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наличия документов, необходимых для того, чтобы производитель медицинского изделия мог обеспечивать планирование, осуществление производственных процессов и управление ими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документация на медицинское изделие содержит: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свидетельства соответствия медицинских изделий требованиям нормативной документации (в том числе требованиям применяемых стандартов);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описание медицинских изделий, включая инструкции по применению, материалы и спецификацию;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сводную документацию по верификации и валидации проектов;</w:t>
            </w:r>
          </w:p>
          <w:p w:rsidR="00431864" w:rsidRPr="0043186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маркировку медицинских изделий;</w:t>
            </w:r>
          </w:p>
          <w:p w:rsidR="00861D04" w:rsidRDefault="00431864" w:rsidP="0043186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документы по управлению рисками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333805" w:rsidRDefault="00C14CF1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2</w:t>
            </w:r>
            <w:r w:rsid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пр</w:t>
            </w:r>
            <w:r w:rsid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оизводства и выходного контроля:</w:t>
            </w:r>
          </w:p>
          <w:p w:rsidR="00431864" w:rsidRDefault="0043186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43186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анализ производственных процессов изготовления продукции (включая условия производства);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оценк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а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 процессов стерилизации (для медицинских изделий, выпускаемых в стерильном виде), в том числе: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 xml:space="preserve">- 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процессы стерилизации были документированы, записи параметров процесса стерилизации для каждой стерилизуемой партии медицинских изделий поддерживаются в рабочем состоянии;</w:t>
            </w:r>
          </w:p>
          <w:p w:rsidR="00EC30E1" w:rsidRPr="00EC30E1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был валидирован;</w:t>
            </w:r>
          </w:p>
          <w:p w:rsidR="00431864" w:rsidRDefault="00EC30E1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lastRenderedPageBreak/>
              <w:tab/>
              <w:t>-</w:t>
            </w:r>
            <w:r w:rsidRPr="00EC30E1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определение того, что процесс стерилизации проводится в соответств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ии с установленными параметрами;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процессы производства являются управляемыми и контролируемыми и функционируют в установленных пределах, а также документальное подтверждение обеспечения необходимого уровня контроля продукции и (или) услуг критических поставщиков;</w:t>
            </w:r>
          </w:p>
          <w:p w:rsidR="00EC30E1" w:rsidRDefault="00CC2D9F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CC2D9F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идентификации и прослеживаемости медицинских изделий и процессов их производства, а также их соответствия установленным требованиям нормативной документации;</w:t>
            </w:r>
          </w:p>
          <w:p w:rsidR="00EC30E1" w:rsidRDefault="00A42B16" w:rsidP="00EC30E1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42B16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деятельность по выходному контролю медицинских изделий обеспечивает соответствие медицинских изделий установленным требованиям нормативной документации</w:t>
            </w: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</w:t>
            </w:r>
          </w:p>
          <w:p w:rsidR="00761B6E" w:rsidRDefault="00C14CF1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3</w:t>
            </w:r>
            <w:r w:rsidR="00761B6E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роцессы корректирующих и предупреждающих действий</w:t>
            </w:r>
            <w:r w:rsidR="006915D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:</w:t>
            </w:r>
          </w:p>
          <w:p w:rsidR="00761B6E" w:rsidRDefault="00DF3EFC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DF3EFC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процедуры корректирующих и предупреждающих действий были разработаны;</w:t>
            </w:r>
          </w:p>
          <w:p w:rsidR="00761B6E" w:rsidRDefault="00DF3EFC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DF3EFC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корректирующие и предупреждающие действия являются результативными.</w:t>
            </w:r>
          </w:p>
          <w:p w:rsidR="00333805" w:rsidRDefault="00C14CF1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4</w:t>
            </w:r>
            <w:r w:rsidR="00761B6E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. П</w:t>
            </w:r>
            <w:r w:rsidR="00333805" w:rsidRPr="00333805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ро</w:t>
            </w:r>
            <w:r w:rsid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цессы, связанные с потребителем:</w:t>
            </w:r>
          </w:p>
          <w:p w:rsidR="00A978A4" w:rsidRDefault="00A978A4" w:rsidP="003606B8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производитель медицинского изделия принял меры, необходимые для установления связи с потребителями, в целях выполнения необходимых корректирующих и предупреждающих действий;</w:t>
            </w:r>
          </w:p>
          <w:p w:rsidR="00A978A4" w:rsidRPr="001C4BB9" w:rsidRDefault="00A978A4" w:rsidP="00A978A4">
            <w:pPr>
              <w:suppressAutoHyphens/>
              <w:jc w:val="left"/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 xml:space="preserve">- </w:t>
            </w:r>
            <w:r w:rsidRPr="00A978A4">
              <w:rPr>
                <w:rFonts w:eastAsia="Times New Roman" w:cs="Times New Roman"/>
                <w:i/>
                <w:noProof/>
                <w:color w:val="000000"/>
                <w:spacing w:val="-3"/>
                <w:sz w:val="24"/>
                <w:szCs w:val="24"/>
                <w:lang w:eastAsia="it-IT"/>
              </w:rPr>
              <w:t>подтверждение того,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управлению рисками.</w:t>
            </w:r>
          </w:p>
        </w:tc>
      </w:tr>
    </w:tbl>
    <w:p w:rsidR="005D320F" w:rsidRPr="00333805" w:rsidRDefault="005D320F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bookmarkStart w:id="0" w:name="_GoBack"/>
      <w:bookmarkEnd w:id="0"/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1. Цель инспектирования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Первичное/периодическое (плановое)/внеплановое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инспектирование производства осуществляется в рамках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постановления Правительства 135 от 09 февраля 2022 года или Решения Совета Евразийской экономической комиссии от 10 ноября 2017 г. № 106 в ходе процедуры регистрации в рамках Союза для медицинских изделий</w:t>
      </w:r>
      <w:r w:rsidRPr="00333805">
        <w:rPr>
          <w:rFonts w:eastAsia="Calibri" w:cs="Times New Roman"/>
          <w:color w:val="000000"/>
          <w:sz w:val="24"/>
          <w:lang w:eastAsia="ru-RU"/>
        </w:rPr>
        <w:t xml:space="preserve"> </w:t>
      </w:r>
      <w:r w:rsidRPr="00333805">
        <w:rPr>
          <w:rFonts w:eastAsia="Calibri" w:cs="Times New Roman"/>
          <w:i/>
          <w:iCs/>
          <w:color w:val="000000"/>
          <w:sz w:val="24"/>
          <w:lang w:eastAsia="ru-RU"/>
        </w:rPr>
        <w:t>(оставить нужное).</w:t>
      </w:r>
    </w:p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представительных медицинских изделий выбраны: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"/>
        <w:gridCol w:w="5031"/>
        <w:gridCol w:w="5053"/>
        <w:gridCol w:w="3559"/>
      </w:tblGrid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73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503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5053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59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rPr>
          <w:rFonts w:eastAsia="Calibri" w:cs="Times New Roman"/>
          <w:b/>
          <w:color w:val="000000"/>
          <w:sz w:val="24"/>
          <w:lang w:eastAsia="ru-RU"/>
        </w:rPr>
      </w:pPr>
      <w:r w:rsidRPr="00333805">
        <w:rPr>
          <w:rFonts w:eastAsia="Calibri" w:cs="Times New Roman"/>
          <w:b/>
          <w:color w:val="000000"/>
          <w:sz w:val="24"/>
          <w:lang w:eastAsia="ru-RU"/>
        </w:rPr>
        <w:t>В качестве образцов медицинских изделий выбраны (для МИ класса потенциального риска применения 3 в рамках реализации Решения Совета ЕЭК №106):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2"/>
        <w:gridCol w:w="4191"/>
        <w:gridCol w:w="3997"/>
        <w:gridCol w:w="2995"/>
        <w:gridCol w:w="2685"/>
      </w:tblGrid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Наименование медицинского изделия </w:t>
            </w: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Группа </w:t>
            </w: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 xml:space="preserve">Подгруппа </w:t>
            </w:r>
          </w:p>
        </w:tc>
        <w:tc>
          <w:tcPr>
            <w:tcW w:w="268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Количество образцов</w:t>
            </w: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454"/>
        </w:trPr>
        <w:tc>
          <w:tcPr>
            <w:tcW w:w="692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  <w:r w:rsidRPr="00333805">
              <w:rPr>
                <w:rFonts w:cs="Times New Roman"/>
                <w:b/>
                <w:color w:val="000000"/>
                <w:sz w:val="24"/>
              </w:rPr>
              <w:t>…..</w:t>
            </w:r>
          </w:p>
        </w:tc>
        <w:tc>
          <w:tcPr>
            <w:tcW w:w="4191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b/>
                <w:color w:val="000000"/>
                <w:sz w:val="24"/>
              </w:rPr>
            </w:pPr>
          </w:p>
        </w:tc>
        <w:tc>
          <w:tcPr>
            <w:tcW w:w="3997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685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5D320F" w:rsidRPr="00333805" w:rsidRDefault="005D320F" w:rsidP="00333805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b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2. Состав инспекционной группы: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6"/>
        <w:gridCol w:w="10439"/>
      </w:tblGrid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Руководитель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Член инспекционной группы, инспектор</w:t>
            </w:r>
          </w:p>
        </w:tc>
      </w:tr>
      <w:tr w:rsidR="00333805" w:rsidRPr="00333805" w:rsidTr="00A80502">
        <w:trPr>
          <w:trHeight w:val="343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Фамилия Имя Отчество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Член инспекционной группы, переводчик (при </w:t>
            </w:r>
            <w:r w:rsidR="00F41C1F">
              <w:rPr>
                <w:rFonts w:eastAsia="Calibri" w:cs="Times New Roman"/>
                <w:color w:val="000000"/>
                <w:sz w:val="24"/>
                <w:lang w:eastAsia="ru-RU"/>
              </w:rPr>
              <w:t>необходимости</w:t>
            </w: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)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3. Контактное лицо производителя и/или уполномоченного представителя</w:t>
      </w:r>
      <w:r w:rsidRPr="00333805">
        <w:rPr>
          <w:rFonts w:eastAsia="Calibri" w:cs="Times New Roman"/>
          <w:color w:val="000000"/>
          <w:sz w:val="24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  <w:tr w:rsidR="00333805" w:rsidRPr="00333805" w:rsidTr="00A80502"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Фамилия Имя Отчество</w:t>
            </w:r>
          </w:p>
        </w:tc>
        <w:tc>
          <w:tcPr>
            <w:tcW w:w="4853" w:type="dxa"/>
            <w:vAlign w:val="center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должность</w:t>
            </w:r>
          </w:p>
        </w:tc>
        <w:tc>
          <w:tcPr>
            <w:tcW w:w="4854" w:type="dxa"/>
          </w:tcPr>
          <w:p w:rsidR="00333805" w:rsidRPr="00333805" w:rsidRDefault="00333805" w:rsidP="00333805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Контактный телефон</w:t>
            </w: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b/>
          <w:color w:val="000000"/>
          <w:sz w:val="24"/>
        </w:rPr>
        <w:t>4. Объекты проверки:</w:t>
      </w:r>
      <w:r w:rsidRPr="00333805">
        <w:rPr>
          <w:rFonts w:eastAsia="Calibri" w:cs="Times New Roman"/>
          <w:color w:val="000000"/>
          <w:sz w:val="24"/>
        </w:rPr>
        <w:t xml:space="preserve">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ПЕРВЫЙ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lastRenderedPageBreak/>
        <w:t>ДЕНЬ ВТОРОЙ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4596" w:type="dxa"/>
            <w:gridSpan w:val="4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C05464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C05464">
        <w:rPr>
          <w:rFonts w:eastAsia="Calibri" w:cs="Times New Roman"/>
          <w:color w:val="000000"/>
          <w:sz w:val="24"/>
        </w:rPr>
        <w:t xml:space="preserve">ДЕНЬ ТРЕТИЙ 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i/>
          <w:color w:val="000000"/>
          <w:sz w:val="24"/>
        </w:rPr>
      </w:pPr>
      <w:r w:rsidRPr="00333805">
        <w:rPr>
          <w:rFonts w:eastAsia="Calibri" w:cs="Times New Roman"/>
          <w:i/>
          <w:color w:val="000000"/>
          <w:sz w:val="24"/>
        </w:rPr>
        <w:t xml:space="preserve">Перелет в город </w:t>
      </w:r>
      <w:r w:rsidRPr="00333805">
        <w:rPr>
          <w:rFonts w:eastAsia="Calibri" w:cs="Times New Roman"/>
          <w:i/>
          <w:color w:val="000000"/>
          <w:sz w:val="24"/>
          <w:lang w:val="en-US"/>
        </w:rPr>
        <w:t>N</w:t>
      </w:r>
      <w:r w:rsidRPr="00333805">
        <w:rPr>
          <w:rFonts w:eastAsia="Calibri" w:cs="Times New Roman"/>
          <w:i/>
          <w:color w:val="000000"/>
          <w:sz w:val="24"/>
        </w:rPr>
        <w:t xml:space="preserve"> (при наличии перелетов/переездов)</w:t>
      </w: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  <w:r w:rsidRPr="00333805">
        <w:rPr>
          <w:rFonts w:eastAsia="Calibri" w:cs="Times New Roman"/>
          <w:color w:val="000000"/>
          <w:sz w:val="24"/>
        </w:rPr>
        <w:t xml:space="preserve">ДЕНЬ ЧЕТВЕРТЫЙ </w:t>
      </w: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811"/>
        <w:gridCol w:w="4253"/>
        <w:gridCol w:w="2977"/>
      </w:tblGrid>
      <w:tr w:rsidR="00333805" w:rsidRPr="00333805" w:rsidTr="00A80502">
        <w:trPr>
          <w:cantSplit/>
          <w:trHeight w:val="283"/>
          <w:tblHeader/>
        </w:trPr>
        <w:tc>
          <w:tcPr>
            <w:tcW w:w="11619" w:type="dxa"/>
            <w:gridSpan w:val="3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 xml:space="preserve">ДАТА: </w:t>
            </w:r>
          </w:p>
        </w:tc>
        <w:tc>
          <w:tcPr>
            <w:tcW w:w="2977" w:type="dxa"/>
            <w:shd w:val="clear" w:color="auto" w:fill="FBD4B4"/>
          </w:tcPr>
          <w:p w:rsidR="00333805" w:rsidRPr="00333805" w:rsidRDefault="00333805" w:rsidP="00333805">
            <w:pPr>
              <w:rPr>
                <w:rFonts w:eastAsia="Calibri" w:cs="Times New Roman"/>
                <w:b/>
                <w:color w:val="000000"/>
                <w:sz w:val="24"/>
              </w:rPr>
            </w:pPr>
          </w:p>
        </w:tc>
      </w:tr>
      <w:tr w:rsidR="00333805" w:rsidRPr="00333805" w:rsidTr="00A80502">
        <w:trPr>
          <w:cantSplit/>
          <w:trHeight w:val="283"/>
          <w:tblHeader/>
        </w:trPr>
        <w:tc>
          <w:tcPr>
            <w:tcW w:w="1555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5811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Область инспектирования</w:t>
            </w:r>
          </w:p>
        </w:tc>
        <w:tc>
          <w:tcPr>
            <w:tcW w:w="4253" w:type="dxa"/>
            <w:shd w:val="clear" w:color="auto" w:fill="auto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инспекционной группы</w:t>
            </w: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333805">
              <w:rPr>
                <w:rFonts w:eastAsia="Calibri" w:cs="Times New Roman"/>
                <w:b/>
                <w:color w:val="000000"/>
                <w:sz w:val="24"/>
              </w:rPr>
              <w:t>Ответственный от организации</w:t>
            </w: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rPr>
          <w:trHeight w:val="283"/>
        </w:trPr>
        <w:tc>
          <w:tcPr>
            <w:tcW w:w="1555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5811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33805" w:rsidRPr="00333805" w:rsidRDefault="00333805" w:rsidP="00333805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</w:tr>
    </w:tbl>
    <w:p w:rsidR="00333805" w:rsidRPr="00333805" w:rsidRDefault="00333805" w:rsidP="00333805">
      <w:pPr>
        <w:autoSpaceDE w:val="0"/>
        <w:autoSpaceDN w:val="0"/>
        <w:adjustRightInd w:val="0"/>
        <w:contextualSpacing/>
        <w:rPr>
          <w:rFonts w:eastAsia="Calibri" w:cs="Times New Roman"/>
          <w:color w:val="000000"/>
          <w:sz w:val="24"/>
        </w:rPr>
      </w:pP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имеют право применять инструменты фото-, аудио- и видео фиксации. Материалы, полученные в ходе фото-, аудио- и видео фиксации являются конфиденциальными и не подлежат распространению третьим лицам без согласования с заказчиком.</w:t>
      </w:r>
    </w:p>
    <w:p w:rsidR="00333805" w:rsidRPr="00333805" w:rsidRDefault="00333805" w:rsidP="00333805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Инспекторы подтверждают свою независимость от органа или лица, назначившего инспекцию, разработчика или производителя (изготовителя) медицинского изделия, уполномоченного представителя производителя (изготовителя) медицинского изделия или других заинтересованных в результатах инспекции лиц и обязуются: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 xml:space="preserve">сохранять беспристрастность и независимость от коммерческих и иных интересов при проведении инспекции или осуществлении связанной с проведением инспекцией деятельности; 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воздерживаться от совершения действий, способных повлечь за собой возникновение конфликтов интересов и как следствие нарушение принципа беспристрастности;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Кодекс этики, служебного поведения и внешнего вида;</w:t>
      </w:r>
    </w:p>
    <w:p w:rsidR="00333805" w:rsidRPr="00333805" w:rsidRDefault="00333805" w:rsidP="00A66961">
      <w:pPr>
        <w:ind w:firstLine="567"/>
        <w:rPr>
          <w:rFonts w:eastAsia="Calibri" w:cs="Times New Roman"/>
          <w:color w:val="000000"/>
          <w:sz w:val="24"/>
          <w:lang w:eastAsia="ru-RU"/>
        </w:rPr>
      </w:pPr>
      <w:r w:rsidRPr="00333805">
        <w:rPr>
          <w:rFonts w:eastAsia="Calibri" w:cs="Times New Roman"/>
          <w:color w:val="000000"/>
          <w:sz w:val="24"/>
          <w:lang w:eastAsia="ru-RU"/>
        </w:rPr>
        <w:t>соблюдать требования конфиденциальности согласно действующему законодательству РФ.</w:t>
      </w:r>
    </w:p>
    <w:p w:rsidR="00333805" w:rsidRPr="00C05464" w:rsidRDefault="00333805" w:rsidP="00333805">
      <w:pPr>
        <w:rPr>
          <w:rFonts w:eastAsia="Calibri" w:cs="Times New Roman"/>
          <w:color w:val="000000"/>
          <w:sz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1417"/>
        <w:gridCol w:w="2977"/>
      </w:tblGrid>
      <w:tr w:rsidR="00333805" w:rsidRPr="00333805" w:rsidTr="00A80502">
        <w:trPr>
          <w:cantSplit/>
          <w:trHeight w:val="885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Руководитель инспекционной группы: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Члены инспекционной группы: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883"/>
        </w:trPr>
        <w:tc>
          <w:tcPr>
            <w:tcW w:w="4536" w:type="dxa"/>
            <w:hideMark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>Представитель производителя</w:t>
            </w: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  <w:lang w:eastAsia="ru-RU"/>
              </w:rPr>
              <w:t xml:space="preserve">с программой ознакомлен: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blPrEx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  <w:r w:rsidRPr="00333805">
              <w:rPr>
                <w:rFonts w:eastAsia="Calibri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:rsidR="00333805" w:rsidRPr="00333805" w:rsidRDefault="00333805" w:rsidP="00333805">
            <w:pPr>
              <w:rPr>
                <w:rFonts w:eastAsia="Calibri" w:cs="Times New Roman"/>
                <w:color w:val="000000"/>
                <w:sz w:val="24"/>
                <w:lang w:eastAsia="ru-RU"/>
              </w:rPr>
            </w:pPr>
          </w:p>
        </w:tc>
      </w:tr>
    </w:tbl>
    <w:p w:rsidR="00333805" w:rsidRPr="00333805" w:rsidRDefault="00333805" w:rsidP="00333805">
      <w:pPr>
        <w:rPr>
          <w:rFonts w:eastAsia="Calibri" w:cs="Times New Roman"/>
          <w:color w:val="000000"/>
          <w:sz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80"/>
        <w:gridCol w:w="1417"/>
        <w:gridCol w:w="2759"/>
        <w:gridCol w:w="223"/>
      </w:tblGrid>
      <w:tr w:rsidR="00333805" w:rsidRPr="00333805" w:rsidTr="00A80502">
        <w:tc>
          <w:tcPr>
            <w:tcW w:w="4536" w:type="dxa"/>
          </w:tcPr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 xml:space="preserve">Переводчик: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t xml:space="preserve">(в случае предоставления 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i/>
                <w:color w:val="000000"/>
                <w:sz w:val="24"/>
              </w:rPr>
            </w:pPr>
            <w:r w:rsidRPr="00333805">
              <w:rPr>
                <w:rFonts w:cs="Times New Roman"/>
                <w:i/>
                <w:color w:val="000000"/>
                <w:sz w:val="24"/>
              </w:rPr>
              <w:t>переводчика инспектируемой организацией)</w:t>
            </w:r>
          </w:p>
          <w:p w:rsidR="00333805" w:rsidRPr="00333805" w:rsidRDefault="00333805" w:rsidP="00333805">
            <w:pPr>
              <w:jc w:val="lef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  <w:vAlign w:val="center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4"/>
              </w:rPr>
              <w:t>(И.О. Фамилия)</w:t>
            </w:r>
          </w:p>
        </w:tc>
      </w:tr>
      <w:tr w:rsidR="00333805" w:rsidRPr="00333805" w:rsidTr="00A80502">
        <w:trPr>
          <w:gridAfter w:val="1"/>
          <w:wAfter w:w="223" w:type="dxa"/>
        </w:trPr>
        <w:tc>
          <w:tcPr>
            <w:tcW w:w="4536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jc w:val="center"/>
              <w:rPr>
                <w:rFonts w:cs="Times New Roman"/>
                <w:color w:val="000000"/>
                <w:sz w:val="24"/>
              </w:rPr>
            </w:pPr>
            <w:r w:rsidRPr="00333805">
              <w:rPr>
                <w:rFonts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17" w:type="dxa"/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333805" w:rsidRPr="00333805" w:rsidRDefault="00333805" w:rsidP="00333805">
            <w:pPr>
              <w:rPr>
                <w:rFonts w:cs="Times New Roman"/>
                <w:color w:val="000000"/>
                <w:sz w:val="24"/>
              </w:rPr>
            </w:pPr>
          </w:p>
        </w:tc>
      </w:tr>
    </w:tbl>
    <w:p w:rsidR="00E73309" w:rsidRPr="00333805" w:rsidRDefault="00E73309" w:rsidP="00526B95">
      <w:pPr>
        <w:rPr>
          <w:rFonts w:eastAsia="Calibri" w:cs="Times New Roman"/>
          <w:color w:val="000000"/>
        </w:rPr>
      </w:pPr>
    </w:p>
    <w:sectPr w:rsidR="00E73309" w:rsidRPr="00333805" w:rsidSect="00333805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11" w:rsidRDefault="00692A11" w:rsidP="00072585">
      <w:r>
        <w:separator/>
      </w:r>
    </w:p>
  </w:endnote>
  <w:endnote w:type="continuationSeparator" w:id="0">
    <w:p w:rsidR="00692A11" w:rsidRDefault="00692A11" w:rsidP="0007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11" w:rsidRDefault="00692A11" w:rsidP="00072585">
      <w:r>
        <w:separator/>
      </w:r>
    </w:p>
  </w:footnote>
  <w:footnote w:type="continuationSeparator" w:id="0">
    <w:p w:rsidR="00692A11" w:rsidRDefault="00692A11" w:rsidP="0007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A32C6"/>
    <w:multiLevelType w:val="hybridMultilevel"/>
    <w:tmpl w:val="4C52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85"/>
    <w:rsid w:val="00010BAA"/>
    <w:rsid w:val="00030D27"/>
    <w:rsid w:val="00034B8A"/>
    <w:rsid w:val="0004181C"/>
    <w:rsid w:val="00072585"/>
    <w:rsid w:val="0008618D"/>
    <w:rsid w:val="00156AE9"/>
    <w:rsid w:val="001722C4"/>
    <w:rsid w:val="001762B1"/>
    <w:rsid w:val="001A6FA1"/>
    <w:rsid w:val="001C4BB9"/>
    <w:rsid w:val="001D5023"/>
    <w:rsid w:val="00221DF2"/>
    <w:rsid w:val="002C47A6"/>
    <w:rsid w:val="00317D24"/>
    <w:rsid w:val="00333805"/>
    <w:rsid w:val="00354BA2"/>
    <w:rsid w:val="003606B8"/>
    <w:rsid w:val="0039184D"/>
    <w:rsid w:val="00403897"/>
    <w:rsid w:val="00420FC7"/>
    <w:rsid w:val="00431864"/>
    <w:rsid w:val="00480297"/>
    <w:rsid w:val="004E0343"/>
    <w:rsid w:val="00526B95"/>
    <w:rsid w:val="005D320F"/>
    <w:rsid w:val="006136D2"/>
    <w:rsid w:val="00636C80"/>
    <w:rsid w:val="0064522E"/>
    <w:rsid w:val="006915D5"/>
    <w:rsid w:val="00692A11"/>
    <w:rsid w:val="00761B6E"/>
    <w:rsid w:val="007A1655"/>
    <w:rsid w:val="007C77AF"/>
    <w:rsid w:val="007E53ED"/>
    <w:rsid w:val="007F17B5"/>
    <w:rsid w:val="00861D04"/>
    <w:rsid w:val="008E285F"/>
    <w:rsid w:val="008F2978"/>
    <w:rsid w:val="00927959"/>
    <w:rsid w:val="00932DCA"/>
    <w:rsid w:val="009A6A78"/>
    <w:rsid w:val="009D257F"/>
    <w:rsid w:val="00A42B16"/>
    <w:rsid w:val="00A66961"/>
    <w:rsid w:val="00A978A4"/>
    <w:rsid w:val="00B55E44"/>
    <w:rsid w:val="00B92F24"/>
    <w:rsid w:val="00C05464"/>
    <w:rsid w:val="00C14CF1"/>
    <w:rsid w:val="00CC2D9F"/>
    <w:rsid w:val="00CE0153"/>
    <w:rsid w:val="00D06CB5"/>
    <w:rsid w:val="00D2649B"/>
    <w:rsid w:val="00D953C9"/>
    <w:rsid w:val="00DF3EFC"/>
    <w:rsid w:val="00E73309"/>
    <w:rsid w:val="00EC30E1"/>
    <w:rsid w:val="00EC5472"/>
    <w:rsid w:val="00F41C1F"/>
    <w:rsid w:val="00FD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6BE"/>
  <w15:chartTrackingRefBased/>
  <w15:docId w15:val="{4B7357B0-DE28-4B86-B99B-994654A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8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"/>
    <w:basedOn w:val="a"/>
    <w:link w:val="a4"/>
    <w:unhideWhenUsed/>
    <w:rsid w:val="0007258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aliases w:val="Верхний колонтитул первой страницы Знак"/>
    <w:basedOn w:val="a0"/>
    <w:link w:val="a3"/>
    <w:rsid w:val="00072585"/>
    <w:rPr>
      <w:rFonts w:ascii="Calibri" w:eastAsia="Calibri" w:hAnsi="Calibri" w:cs="Times New Roman"/>
      <w:sz w:val="28"/>
    </w:rPr>
  </w:style>
  <w:style w:type="character" w:customStyle="1" w:styleId="14">
    <w:name w:val="Стиль 14 пт"/>
    <w:rsid w:val="00072585"/>
    <w:rPr>
      <w:sz w:val="36"/>
    </w:rPr>
  </w:style>
  <w:style w:type="paragraph" w:styleId="a5">
    <w:name w:val="footer"/>
    <w:basedOn w:val="a"/>
    <w:link w:val="a6"/>
    <w:uiPriority w:val="99"/>
    <w:unhideWhenUsed/>
    <w:rsid w:val="000725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585"/>
    <w:rPr>
      <w:rFonts w:ascii="Times New Roman" w:hAnsi="Times New Roman"/>
      <w:sz w:val="28"/>
    </w:rPr>
  </w:style>
  <w:style w:type="paragraph" w:styleId="a7">
    <w:name w:val="No Spacing"/>
    <w:link w:val="a8"/>
    <w:uiPriority w:val="1"/>
    <w:qFormat/>
    <w:rsid w:val="00E733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rsid w:val="00E73309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953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3C9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b"/>
    <w:uiPriority w:val="39"/>
    <w:rsid w:val="0033380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3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6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Чилибина Ольга Петровна</dc:creator>
  <cp:keywords/>
  <dc:description/>
  <cp:lastModifiedBy>Федоров Иван Сергеевич</cp:lastModifiedBy>
  <cp:revision>3</cp:revision>
  <cp:lastPrinted>2023-12-27T11:37:00Z</cp:lastPrinted>
  <dcterms:created xsi:type="dcterms:W3CDTF">2024-04-16T17:35:00Z</dcterms:created>
  <dcterms:modified xsi:type="dcterms:W3CDTF">2024-04-16T17:35:00Z</dcterms:modified>
</cp:coreProperties>
</file>