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05" w:rsidRPr="00333805" w:rsidRDefault="00333805" w:rsidP="00333805">
      <w:pPr>
        <w:jc w:val="center"/>
        <w:rPr>
          <w:rFonts w:eastAsia="Times New Roman" w:cs="Times New Roman"/>
          <w:b/>
          <w:color w:val="000000"/>
          <w:szCs w:val="32"/>
        </w:rPr>
      </w:pPr>
      <w:r w:rsidRPr="00333805">
        <w:rPr>
          <w:rFonts w:eastAsia="Times New Roman" w:cs="Times New Roman"/>
          <w:b/>
          <w:color w:val="000000"/>
          <w:szCs w:val="32"/>
        </w:rPr>
        <w:t>Программа инспектирования производства</w:t>
      </w:r>
    </w:p>
    <w:p w:rsidR="00333805" w:rsidRPr="00333805" w:rsidRDefault="00333805" w:rsidP="00333805">
      <w:pPr>
        <w:jc w:val="center"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____________________________________ </w:t>
      </w:r>
      <w:r w:rsidRPr="00333805">
        <w:rPr>
          <w:rFonts w:eastAsia="Calibri" w:cs="Times New Roman"/>
          <w:i/>
          <w:iCs/>
          <w:color w:val="000000"/>
          <w:sz w:val="24"/>
        </w:rPr>
        <w:t>(указать наименование производителя медицинского изделия)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256"/>
        <w:gridCol w:w="2362"/>
        <w:gridCol w:w="5970"/>
      </w:tblGrid>
      <w:tr w:rsidR="00333805" w:rsidRPr="00333805" w:rsidTr="00A80502">
        <w:trPr>
          <w:trHeight w:val="1016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Адрес производственной площадки:</w:t>
            </w:r>
          </w:p>
        </w:tc>
        <w:tc>
          <w:tcPr>
            <w:tcW w:w="1118" w:type="pct"/>
            <w:shd w:val="clear" w:color="auto" w:fill="auto"/>
          </w:tcPr>
          <w:p w:rsidR="00333805" w:rsidRPr="001C4BB9" w:rsidRDefault="00333805" w:rsidP="001C4BB9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</w:tc>
        <w:tc>
          <w:tcPr>
            <w:tcW w:w="81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Место и даты проведения инспектирования</w:t>
            </w:r>
          </w:p>
        </w:tc>
        <w:tc>
          <w:tcPr>
            <w:tcW w:w="2050" w:type="pct"/>
            <w:shd w:val="clear" w:color="auto" w:fill="auto"/>
          </w:tcPr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iCs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</w:rPr>
              <w:t>и/или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Инспектирование производства проводится с использованием средств дистанционного взаимодействия по адресу: (указать адрес)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 xml:space="preserve">Даты проведения: 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Форма</w:t>
            </w:r>
          </w:p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инспектирования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первичное/периодическое (плановое)/внеплановое (нужное оставить)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Основание для проведения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Заявка</w:t>
            </w:r>
          </w:p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№ ___ от ___</w:t>
            </w:r>
          </w:p>
        </w:tc>
      </w:tr>
      <w:tr w:rsidR="00333805" w:rsidRPr="00333805" w:rsidTr="00A80502">
        <w:trPr>
          <w:trHeight w:val="729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606B8" w:rsidRDefault="003606B8" w:rsidP="003606B8">
            <w:pPr>
              <w:pStyle w:val="ac"/>
              <w:suppressAutoHyphens/>
              <w:ind w:left="0"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1. П</w:t>
            </w:r>
            <w:r w:rsidR="00333805"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проектирования и разработки</w:t>
            </w:r>
            <w:r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:</w:t>
            </w:r>
          </w:p>
          <w:p w:rsidR="00010BAA" w:rsidRDefault="003606B8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наличия процедур проектирования и разработки (включая управление рисками);</w:t>
            </w:r>
          </w:p>
          <w:p w:rsidR="00010BAA" w:rsidRDefault="003606B8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документов, описывающих процедуру проектирования и охватывающих модельный ряд медицинского изделия;</w:t>
            </w:r>
          </w:p>
          <w:p w:rsidR="003606B8" w:rsidRDefault="002C47A6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="003606B8"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на основе выбранных записей по проектированию медицинского изделия того, что процедуры проектирования и разработки были установлены и применены;</w:t>
            </w:r>
          </w:p>
          <w:p w:rsidR="003606B8" w:rsidRDefault="00636C80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636C80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входные данные процесса проектирования были разработаны с учетом назначения медицинского изделия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;</w:t>
            </w:r>
          </w:p>
          <w:p w:rsidR="003606B8" w:rsidRDefault="00636C80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636C80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спецификаций на медицинские изделия в целях подтверждения того, что выходные данные проекта медицинского изделия, обеспечивающие безопасность и эффективность медицинского изделия при его применении по назначению, были определены;</w:t>
            </w:r>
          </w:p>
          <w:p w:rsidR="003606B8" w:rsidRDefault="00354BA2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354BA2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деятельность по менеджменту риска была определена и осуществлена, критерии допустимости риска были установлены и являются соответствующими, любой остаточный риск был оценен и при необходимости доведен до сведения потребителя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333805" w:rsidRDefault="00642DDF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2</w:t>
            </w:r>
            <w:r w:rsid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пр</w:t>
            </w:r>
            <w:r w:rsid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оизводства и выходного контроля:</w:t>
            </w:r>
          </w:p>
          <w:p w:rsidR="00431864" w:rsidRDefault="0043186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производственных процессов изготовления продукции (включая условия производства);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оценк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 процессов стерилизации (для медицинских изделий, выпускаемых в стерильном виде), в том числе: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процессы стерилизации были документированы, записи параметров процесса стерилизации для каждой стерилизуемой партии медицинских изделий поддерживаются в рабочем состоянии;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lastRenderedPageBreak/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был валидирован;</w:t>
            </w:r>
          </w:p>
          <w:p w:rsidR="00431864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проводится в соответств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ии с установленными параметрами;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процессы производства являются управляемыми и контролируемыми и функционируют в установленных пределах, а также документальное подтверждение обеспечения необходимого уровня контроля продукции и (или) услуг критических поставщиков;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идентификации и прослеживаемости медицинских изделий и процессов их производства, а также их соответствия установленным требованиям нормативной документации;</w:t>
            </w:r>
          </w:p>
          <w:p w:rsidR="00EC30E1" w:rsidRDefault="00A42B16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42B16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деятельность по выходному контролю медицинских изделий обеспечивает соответствие медицинских изделий установленным требованиям нормативной документации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333805" w:rsidRDefault="00642DDF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3</w:t>
            </w:r>
            <w:r w:rsidR="00761B6E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</w:t>
            </w:r>
            <w:r w:rsid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цессы, связанные с потребителем:</w:t>
            </w:r>
          </w:p>
          <w:p w:rsidR="00A978A4" w:rsidRDefault="00A978A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действий;</w:t>
            </w:r>
          </w:p>
          <w:p w:rsidR="00A978A4" w:rsidRPr="001C4BB9" w:rsidRDefault="00A978A4" w:rsidP="00A978A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управлению рисками.</w:t>
            </w:r>
          </w:p>
        </w:tc>
      </w:tr>
    </w:tbl>
    <w:p w:rsidR="005D320F" w:rsidRPr="00333805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bookmarkStart w:id="0" w:name="_GoBack"/>
      <w:bookmarkEnd w:id="0"/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1. Цель инспектирования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Первичное/периодическое (плановое)/внеплановое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инспектирование производства осуществляется в рамках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постановления Правительства 135 от 09 февраля 2022 года или Решения Совета Евразийской экономической комиссии от 10 ноября 2017 г. № 106 в ходе процедуры регистрации в рамках Союза для медицинских изделий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(оставить нужное).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представительных медицинских изделий выбраны: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образцов медицинских изделий выбраны (для МИ класса потенциального риска применения 3 в рамках реализации Решения Совета ЕЭК №106):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4191"/>
        <w:gridCol w:w="3997"/>
        <w:gridCol w:w="2995"/>
        <w:gridCol w:w="2685"/>
      </w:tblGrid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  <w:tc>
          <w:tcPr>
            <w:tcW w:w="268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Количество образцов</w:t>
            </w: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5D320F" w:rsidRPr="00333805" w:rsidRDefault="005D320F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b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2. Состав инспекционной группы: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0439"/>
      </w:tblGrid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Руководитель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Член инспекционной группы, переводчик (при </w:t>
            </w:r>
            <w:r w:rsidR="00F41C1F">
              <w:rPr>
                <w:rFonts w:eastAsia="Calibri" w:cs="Times New Roman"/>
                <w:color w:val="000000"/>
                <w:sz w:val="24"/>
                <w:lang w:eastAsia="ru-RU"/>
              </w:rPr>
              <w:t>необходимости</w:t>
            </w: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)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3. Контактное лицо производителя и/или уполномоченного представителя</w:t>
      </w:r>
      <w:r w:rsidRPr="00333805">
        <w:rPr>
          <w:rFonts w:eastAsia="Calibri" w:cs="Times New Roman"/>
          <w:color w:val="000000"/>
          <w:sz w:val="24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4. Объекты проверки:</w:t>
      </w:r>
      <w:r w:rsidRPr="00333805">
        <w:rPr>
          <w:rFonts w:eastAsia="Calibri" w:cs="Times New Roman"/>
          <w:color w:val="000000"/>
          <w:sz w:val="24"/>
        </w:rPr>
        <w:t xml:space="preserve">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ПЕРВЫЙ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>ДЕНЬ ВТОРОЙ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lastRenderedPageBreak/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C05464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C05464">
        <w:rPr>
          <w:rFonts w:eastAsia="Calibri" w:cs="Times New Roman"/>
          <w:color w:val="000000"/>
          <w:sz w:val="24"/>
        </w:rPr>
        <w:t xml:space="preserve">ДЕНЬ ТРЕТИЙ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i/>
          <w:color w:val="000000"/>
          <w:sz w:val="24"/>
        </w:rPr>
      </w:pPr>
      <w:r w:rsidRPr="00333805">
        <w:rPr>
          <w:rFonts w:eastAsia="Calibri" w:cs="Times New Roman"/>
          <w:i/>
          <w:color w:val="000000"/>
          <w:sz w:val="24"/>
        </w:rPr>
        <w:t xml:space="preserve">Перелет в город </w:t>
      </w:r>
      <w:r w:rsidRPr="00333805">
        <w:rPr>
          <w:rFonts w:eastAsia="Calibri" w:cs="Times New Roman"/>
          <w:i/>
          <w:color w:val="000000"/>
          <w:sz w:val="24"/>
          <w:lang w:val="en-US"/>
        </w:rPr>
        <w:t>N</w:t>
      </w:r>
      <w:r w:rsidRPr="00333805">
        <w:rPr>
          <w:rFonts w:eastAsia="Calibri" w:cs="Times New Roman"/>
          <w:i/>
          <w:color w:val="000000"/>
          <w:sz w:val="24"/>
        </w:rPr>
        <w:t xml:space="preserve"> (при наличии перелетов/переездов)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ЧЕТВЕРТЫЙ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1619" w:type="dxa"/>
            <w:gridSpan w:val="3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  <w:tc>
          <w:tcPr>
            <w:tcW w:w="2977" w:type="dxa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имеют право применять инструменты фото-, аудио- и видео фиксации. Материалы, полученные в ходе фото-, аудио- и видео фиксации являются конфиденциальными и не подлежат распространению третьим лицам без согласования с заказчиком.</w:t>
      </w: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подтверждают свою независимость от органа или лица, назначившего инспекцию, разработчика или производителя (изготовителя) медицинского изделия, уполномоченного представителя производителя (изготовителя) медицинского изделия или других заинтересованных в результатах инспекции лиц и обязуются: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 xml:space="preserve">сохранять беспристрастность и независимость от коммерческих и иных интересов при проведении инспекции или осуществлении связанной с проведением инспекцией деятельности; 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воздерживаться от совершения действий, способных повлечь за собой возникновение конфликтов интересов и как следствие нарушение принципа беспристрастности;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Кодекс этики, служебного поведения и внешнего вида;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требования конфиденциальности согласно действующему законодательству РФ.</w:t>
      </w:r>
    </w:p>
    <w:p w:rsidR="00333805" w:rsidRPr="00C05464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1417"/>
        <w:gridCol w:w="2977"/>
      </w:tblGrid>
      <w:tr w:rsidR="00333805" w:rsidRPr="00333805" w:rsidTr="00A80502">
        <w:trPr>
          <w:cantSplit/>
          <w:trHeight w:val="885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Руководитель инспекционной группы: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Члены инспекционной группы: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883"/>
        </w:trPr>
        <w:tc>
          <w:tcPr>
            <w:tcW w:w="4536" w:type="dxa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Представитель производителя</w:t>
            </w: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с программой ознакомлен: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0"/>
        <w:gridCol w:w="1417"/>
        <w:gridCol w:w="2759"/>
        <w:gridCol w:w="223"/>
      </w:tblGrid>
      <w:tr w:rsidR="00333805" w:rsidRPr="00333805" w:rsidTr="00A80502">
        <w:tc>
          <w:tcPr>
            <w:tcW w:w="4536" w:type="dxa"/>
          </w:tcPr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 xml:space="preserve">Переводчик: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t xml:space="preserve">(в случае предоставления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t>переводчика инспектируемой организацией)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gridAfter w:val="1"/>
          <w:wAfter w:w="223" w:type="dxa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E73309" w:rsidRPr="00333805" w:rsidRDefault="00E73309" w:rsidP="00526B95">
      <w:pPr>
        <w:rPr>
          <w:rFonts w:eastAsia="Calibri" w:cs="Times New Roman"/>
          <w:color w:val="000000"/>
        </w:rPr>
      </w:pPr>
    </w:p>
    <w:sectPr w:rsidR="00E73309" w:rsidRPr="00333805" w:rsidSect="00333805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25" w:rsidRDefault="00F94925" w:rsidP="00072585">
      <w:r>
        <w:separator/>
      </w:r>
    </w:p>
  </w:endnote>
  <w:endnote w:type="continuationSeparator" w:id="0">
    <w:p w:rsidR="00F94925" w:rsidRDefault="00F94925" w:rsidP="000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25" w:rsidRDefault="00F94925" w:rsidP="00072585">
      <w:r>
        <w:separator/>
      </w:r>
    </w:p>
  </w:footnote>
  <w:footnote w:type="continuationSeparator" w:id="0">
    <w:p w:rsidR="00F94925" w:rsidRDefault="00F94925" w:rsidP="000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A32C6"/>
    <w:multiLevelType w:val="hybridMultilevel"/>
    <w:tmpl w:val="4C52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85"/>
    <w:rsid w:val="00010BAA"/>
    <w:rsid w:val="00030D27"/>
    <w:rsid w:val="00034B8A"/>
    <w:rsid w:val="00072585"/>
    <w:rsid w:val="0008618D"/>
    <w:rsid w:val="001722C4"/>
    <w:rsid w:val="001762B1"/>
    <w:rsid w:val="001A6FA1"/>
    <w:rsid w:val="001C4BB9"/>
    <w:rsid w:val="001D5023"/>
    <w:rsid w:val="00221DF2"/>
    <w:rsid w:val="002C47A6"/>
    <w:rsid w:val="00317D24"/>
    <w:rsid w:val="00333805"/>
    <w:rsid w:val="00354BA2"/>
    <w:rsid w:val="003606B8"/>
    <w:rsid w:val="0039184D"/>
    <w:rsid w:val="00403897"/>
    <w:rsid w:val="00420FC7"/>
    <w:rsid w:val="00431864"/>
    <w:rsid w:val="00480297"/>
    <w:rsid w:val="004E0343"/>
    <w:rsid w:val="00526B95"/>
    <w:rsid w:val="005D320F"/>
    <w:rsid w:val="006136D2"/>
    <w:rsid w:val="00636C80"/>
    <w:rsid w:val="00642DDF"/>
    <w:rsid w:val="0064522E"/>
    <w:rsid w:val="006915D5"/>
    <w:rsid w:val="00761B6E"/>
    <w:rsid w:val="007A1655"/>
    <w:rsid w:val="007C77AF"/>
    <w:rsid w:val="007E53ED"/>
    <w:rsid w:val="007F17B5"/>
    <w:rsid w:val="00861D04"/>
    <w:rsid w:val="008E285F"/>
    <w:rsid w:val="008F2978"/>
    <w:rsid w:val="00927959"/>
    <w:rsid w:val="00932DCA"/>
    <w:rsid w:val="009A6A78"/>
    <w:rsid w:val="009D257F"/>
    <w:rsid w:val="00A42B16"/>
    <w:rsid w:val="00A66961"/>
    <w:rsid w:val="00A978A4"/>
    <w:rsid w:val="00B55E44"/>
    <w:rsid w:val="00B92F24"/>
    <w:rsid w:val="00C05464"/>
    <w:rsid w:val="00CC2D9F"/>
    <w:rsid w:val="00CE0153"/>
    <w:rsid w:val="00D06CB5"/>
    <w:rsid w:val="00D2649B"/>
    <w:rsid w:val="00D953C9"/>
    <w:rsid w:val="00DF3EFC"/>
    <w:rsid w:val="00E73309"/>
    <w:rsid w:val="00EC30E1"/>
    <w:rsid w:val="00EC5472"/>
    <w:rsid w:val="00F41C1F"/>
    <w:rsid w:val="00F94925"/>
    <w:rsid w:val="00FD5B4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D9BB"/>
  <w15:chartTrackingRefBased/>
  <w15:docId w15:val="{4B7357B0-DE28-4B86-B99B-994654A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8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link w:val="a4"/>
    <w:unhideWhenUsed/>
    <w:rsid w:val="0007258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aliases w:val="Верхний колонтитул первой страницы Знак"/>
    <w:basedOn w:val="a0"/>
    <w:link w:val="a3"/>
    <w:rsid w:val="00072585"/>
    <w:rPr>
      <w:rFonts w:ascii="Calibri" w:eastAsia="Calibri" w:hAnsi="Calibri" w:cs="Times New Roman"/>
      <w:sz w:val="28"/>
    </w:rPr>
  </w:style>
  <w:style w:type="character" w:customStyle="1" w:styleId="14">
    <w:name w:val="Стиль 14 пт"/>
    <w:rsid w:val="00072585"/>
    <w:rPr>
      <w:sz w:val="36"/>
    </w:rPr>
  </w:style>
  <w:style w:type="paragraph" w:styleId="a5">
    <w:name w:val="footer"/>
    <w:basedOn w:val="a"/>
    <w:link w:val="a6"/>
    <w:uiPriority w:val="99"/>
    <w:unhideWhenUsed/>
    <w:rsid w:val="000725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585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E733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rsid w:val="00E73309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953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3C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3338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3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Чилибина Ольга Петровна</dc:creator>
  <cp:keywords/>
  <dc:description/>
  <cp:lastModifiedBy>Федоров Иван Сергеевич</cp:lastModifiedBy>
  <cp:revision>2</cp:revision>
  <cp:lastPrinted>2023-12-27T11:37:00Z</cp:lastPrinted>
  <dcterms:created xsi:type="dcterms:W3CDTF">2024-04-16T17:54:00Z</dcterms:created>
  <dcterms:modified xsi:type="dcterms:W3CDTF">2024-04-16T17:54:00Z</dcterms:modified>
</cp:coreProperties>
</file>